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5CA10" w14:textId="77777777" w:rsidR="00CA58AA" w:rsidRDefault="00CA58AA"/>
    <w:p w14:paraId="308A3C7D" w14:textId="35CC9FBE" w:rsidR="003E5224" w:rsidRPr="003E5224" w:rsidRDefault="003E5224" w:rsidP="003E5224">
      <w:pPr>
        <w:tabs>
          <w:tab w:val="left" w:pos="5595"/>
        </w:tabs>
      </w:pPr>
      <w:r w:rsidRPr="003E5224">
        <w:rPr>
          <w:b/>
          <w:bCs/>
        </w:rPr>
        <w:t>Testimony for PA Senate Environmental Resources &amp; Energy Committee Hearing</w:t>
      </w:r>
      <w:r w:rsidRPr="003E5224">
        <w:t> </w:t>
      </w:r>
    </w:p>
    <w:p w14:paraId="423F5526" w14:textId="77777777" w:rsidR="003E5224" w:rsidRPr="003E5224" w:rsidRDefault="003E5224" w:rsidP="003E5224">
      <w:pPr>
        <w:tabs>
          <w:tab w:val="left" w:pos="5595"/>
        </w:tabs>
      </w:pPr>
      <w:r w:rsidRPr="003E5224">
        <w:rPr>
          <w:b/>
          <w:bCs/>
        </w:rPr>
        <w:t>Topic:</w:t>
      </w:r>
      <w:r w:rsidRPr="003E5224">
        <w:t> Resource Adequacy, PJM Market Update, and Barriers to New Power Generation </w:t>
      </w:r>
      <w:r w:rsidRPr="003E5224">
        <w:br/>
      </w:r>
      <w:r w:rsidRPr="003E5224">
        <w:rPr>
          <w:b/>
          <w:bCs/>
        </w:rPr>
        <w:t>Date:</w:t>
      </w:r>
      <w:r w:rsidRPr="003E5224">
        <w:t xml:space="preserve"> April 28, </w:t>
      </w:r>
      <w:proofErr w:type="gramStart"/>
      <w:r w:rsidRPr="003E5224">
        <w:t>2026</w:t>
      </w:r>
      <w:proofErr w:type="gramEnd"/>
      <w:r w:rsidRPr="003E5224">
        <w:t> </w:t>
      </w:r>
      <w:r w:rsidRPr="003E5224">
        <w:br/>
      </w:r>
      <w:r w:rsidRPr="003E5224">
        <w:rPr>
          <w:b/>
          <w:bCs/>
        </w:rPr>
        <w:t>Location:</w:t>
      </w:r>
      <w:r w:rsidRPr="003E5224">
        <w:t> Energy Innovation Center, Pittsburgh, PA </w:t>
      </w:r>
    </w:p>
    <w:p w14:paraId="12B26AD0" w14:textId="77777777" w:rsidR="003E5224" w:rsidRPr="003E5224" w:rsidRDefault="003E5224" w:rsidP="003E5224">
      <w:pPr>
        <w:tabs>
          <w:tab w:val="left" w:pos="5595"/>
        </w:tabs>
      </w:pPr>
      <w:r w:rsidRPr="003E5224">
        <w:t> </w:t>
      </w:r>
    </w:p>
    <w:p w14:paraId="61B85AD1" w14:textId="77777777" w:rsidR="003E5224" w:rsidRPr="003E5224" w:rsidRDefault="003E5224" w:rsidP="003E5224">
      <w:pPr>
        <w:tabs>
          <w:tab w:val="left" w:pos="5595"/>
        </w:tabs>
      </w:pPr>
      <w:r w:rsidRPr="003E5224">
        <w:t>Chairman, Chairwoman, and members of the Committee: </w:t>
      </w:r>
    </w:p>
    <w:p w14:paraId="7880F909" w14:textId="77777777" w:rsidR="003E5224" w:rsidRPr="003E5224" w:rsidRDefault="003E5224" w:rsidP="003E5224">
      <w:pPr>
        <w:tabs>
          <w:tab w:val="left" w:pos="5595"/>
        </w:tabs>
      </w:pPr>
      <w:r w:rsidRPr="003E5224">
        <w:t>On behalf of the Allegheny Conference (the Conference), thank you for the opportunity to submit testimony on resource adequacy, the status of the PJM market, and barriers to entry for new power generation. </w:t>
      </w:r>
    </w:p>
    <w:p w14:paraId="06DECACE" w14:textId="77777777" w:rsidR="003E5224" w:rsidRPr="003E5224" w:rsidRDefault="003E5224" w:rsidP="003E5224">
      <w:pPr>
        <w:tabs>
          <w:tab w:val="left" w:pos="5595"/>
        </w:tabs>
      </w:pPr>
      <w:r w:rsidRPr="003E5224">
        <w:t>The Conference represents a broad coalition of business, labor, and civic leadership across Southwestern Pennsylvania. Our work is focused on strengthening the region’s economic competitiveness, and increasingly, that work is inseparable from issues related to energy, specifically, the availability of reliable, affordable, and scalable power. </w:t>
      </w:r>
    </w:p>
    <w:p w14:paraId="2C16F01E" w14:textId="77777777" w:rsidR="003E5224" w:rsidRPr="003E5224" w:rsidRDefault="003E5224" w:rsidP="003E5224">
      <w:pPr>
        <w:tabs>
          <w:tab w:val="left" w:pos="5595"/>
        </w:tabs>
      </w:pPr>
      <w:r w:rsidRPr="003E5224">
        <w:t>We commend the Committee for holding this hearing in Pittsburgh. Southwestern Pennsylvania is uniquely positioned at the center of the Commonwealth’s energy future, with a concentration of natural gas production, nuclear expertise, advanced manufacturing, and emerging demand from energy-intensive industries. </w:t>
      </w:r>
    </w:p>
    <w:p w14:paraId="070679FB" w14:textId="77777777" w:rsidR="003E5224" w:rsidRPr="003E5224" w:rsidRDefault="003E5224" w:rsidP="003E5224">
      <w:pPr>
        <w:tabs>
          <w:tab w:val="left" w:pos="5595"/>
        </w:tabs>
      </w:pPr>
      <w:r w:rsidRPr="003E5224">
        <w:rPr>
          <w:b/>
          <w:bCs/>
        </w:rPr>
        <w:t>Resource Adequacy as an Economic Imperative</w:t>
      </w:r>
      <w:r w:rsidRPr="003E5224">
        <w:t> </w:t>
      </w:r>
    </w:p>
    <w:p w14:paraId="1E8245D0" w14:textId="77777777" w:rsidR="003E5224" w:rsidRPr="003E5224" w:rsidRDefault="003E5224" w:rsidP="003E5224">
      <w:pPr>
        <w:tabs>
          <w:tab w:val="left" w:pos="5595"/>
        </w:tabs>
      </w:pPr>
      <w:r w:rsidRPr="003E5224">
        <w:t>Resource adequacy is no longer solely an energy policy issue. It has become a defining factor in Pennsylvania’s economic trajectory. </w:t>
      </w:r>
    </w:p>
    <w:p w14:paraId="06BCF5D0" w14:textId="77777777" w:rsidR="003E5224" w:rsidRPr="003E5224" w:rsidRDefault="003E5224" w:rsidP="003E5224">
      <w:pPr>
        <w:tabs>
          <w:tab w:val="left" w:pos="5595"/>
        </w:tabs>
      </w:pPr>
      <w:r w:rsidRPr="003E5224">
        <w:t>Electricity demand across the PJM region is rising at a pace not seen in decades, driven by the rapid growth of data centers, increased electrification, and the expansion of advanced manufacturing. At the same time, the development and interconnection of new generation resources are not keeping pace with that demand. </w:t>
      </w:r>
      <w:r w:rsidRPr="003E5224">
        <w:rPr>
          <w:u w:val="single"/>
        </w:rPr>
        <w:t xml:space="preserve">This is not a traditional economic development challenge </w:t>
      </w:r>
      <w:proofErr w:type="gramStart"/>
      <w:r w:rsidRPr="003E5224">
        <w:rPr>
          <w:u w:val="single"/>
        </w:rPr>
        <w:t>but</w:t>
      </w:r>
      <w:proofErr w:type="gramEnd"/>
      <w:r w:rsidRPr="003E5224">
        <w:rPr>
          <w:u w:val="single"/>
        </w:rPr>
        <w:t xml:space="preserve"> is a system constraint challenge, where outcomes depend on electricity deliverability, cost allocation, affordability, and coordination. </w:t>
      </w:r>
      <w:r w:rsidRPr="003E5224">
        <w:t> </w:t>
      </w:r>
    </w:p>
    <w:p w14:paraId="1A2ED759" w14:textId="77777777" w:rsidR="003E5224" w:rsidRPr="003E5224" w:rsidRDefault="003E5224" w:rsidP="003E5224">
      <w:pPr>
        <w:tabs>
          <w:tab w:val="left" w:pos="5595"/>
        </w:tabs>
      </w:pPr>
      <w:r w:rsidRPr="003E5224">
        <w:t xml:space="preserve">The resulting imbalance is already reflected in market signals, including tightening reserve margins and increasing capacity prices. These trends carry direct implications for Pennsylvania households and businesses through higher costs, but they also have broader </w:t>
      </w:r>
      <w:r w:rsidRPr="003E5224">
        <w:lastRenderedPageBreak/>
        <w:t>consequences. Increasingly, access to reliable, competitively priced power is a threshold requirement for major capital investment decisions. </w:t>
      </w:r>
    </w:p>
    <w:p w14:paraId="1208404F" w14:textId="77777777" w:rsidR="003E5224" w:rsidRPr="003E5224" w:rsidRDefault="003E5224" w:rsidP="003E5224">
      <w:pPr>
        <w:tabs>
          <w:tab w:val="left" w:pos="5595"/>
        </w:tabs>
      </w:pPr>
      <w:r w:rsidRPr="003E5224">
        <w:t>Pennsylvania has long been a net exporter of electricity and a leader in energy production. Maintaining that position will require deliberate action to ensure that supply keeps pace with demand and that the Commonwealth remains a competitive location for energy-intensive investment. </w:t>
      </w:r>
    </w:p>
    <w:p w14:paraId="6197DB68" w14:textId="77777777" w:rsidR="003E5224" w:rsidRPr="003E5224" w:rsidRDefault="003E5224" w:rsidP="003E5224">
      <w:pPr>
        <w:tabs>
          <w:tab w:val="left" w:pos="5595"/>
        </w:tabs>
      </w:pPr>
      <w:r w:rsidRPr="003E5224">
        <w:rPr>
          <w:b/>
          <w:bCs/>
        </w:rPr>
        <w:t>A “Build Now and for the Future” Approach</w:t>
      </w:r>
      <w:r w:rsidRPr="003E5224">
        <w:t> </w:t>
      </w:r>
    </w:p>
    <w:p w14:paraId="19C91447" w14:textId="77777777" w:rsidR="003E5224" w:rsidRPr="003E5224" w:rsidRDefault="003E5224" w:rsidP="003E5224">
      <w:pPr>
        <w:tabs>
          <w:tab w:val="left" w:pos="5595"/>
        </w:tabs>
      </w:pPr>
      <w:r w:rsidRPr="003E5224">
        <w:t>Addressing resource adequacy will require a dual focus: accelerating near-term generation while preparing for long-term system evolution. </w:t>
      </w:r>
    </w:p>
    <w:p w14:paraId="521BA60F" w14:textId="77777777" w:rsidR="003E5224" w:rsidRPr="003E5224" w:rsidRDefault="003E5224" w:rsidP="003E5224">
      <w:pPr>
        <w:tabs>
          <w:tab w:val="left" w:pos="5595"/>
        </w:tabs>
      </w:pPr>
      <w:r w:rsidRPr="003E5224">
        <w:t xml:space="preserve">In the near term, Pennsylvania must prioritize the development of generation resources that are commercially viable today and capable of being </w:t>
      </w:r>
      <w:proofErr w:type="gramStart"/>
      <w:r w:rsidRPr="003E5224">
        <w:t>deployed at</w:t>
      </w:r>
      <w:proofErr w:type="gramEnd"/>
      <w:r w:rsidRPr="003E5224">
        <w:t xml:space="preserve"> scale. At the same time, policy frameworks must be established now to enable the deployment of next-generation technologies, including advanced nuclear, energy storage, and lower-carbon fuel pathways. </w:t>
      </w:r>
    </w:p>
    <w:p w14:paraId="09BE651E" w14:textId="77777777" w:rsidR="003E5224" w:rsidRPr="003E5224" w:rsidRDefault="003E5224" w:rsidP="003E5224">
      <w:pPr>
        <w:tabs>
          <w:tab w:val="left" w:pos="5595"/>
        </w:tabs>
      </w:pPr>
      <w:r w:rsidRPr="003E5224">
        <w:t>This “build now and for the future” approach that the Conference advocates for reflects both the urgency of current reliability needs and the importance of long-term economic and environmental sustainability. </w:t>
      </w:r>
    </w:p>
    <w:p w14:paraId="6839F74E" w14:textId="77777777" w:rsidR="003E5224" w:rsidRPr="003E5224" w:rsidRDefault="003E5224" w:rsidP="003E5224">
      <w:pPr>
        <w:tabs>
          <w:tab w:val="left" w:pos="5595"/>
        </w:tabs>
      </w:pPr>
      <w:r w:rsidRPr="003E5224">
        <w:rPr>
          <w:b/>
          <w:bCs/>
        </w:rPr>
        <w:t>Natural Gas: A Foundational Component of Reliability and Growth</w:t>
      </w:r>
      <w:r w:rsidRPr="003E5224">
        <w:t> </w:t>
      </w:r>
    </w:p>
    <w:p w14:paraId="12D14926" w14:textId="77777777" w:rsidR="003E5224" w:rsidRPr="003E5224" w:rsidRDefault="003E5224" w:rsidP="003E5224">
      <w:pPr>
        <w:tabs>
          <w:tab w:val="left" w:pos="5595"/>
        </w:tabs>
      </w:pPr>
      <w:r w:rsidRPr="003E5224">
        <w:t>Natural gas will remain a central component of Pennsylvania’s energy system for the foreseeable future. The Commonwealth is one of the largest natural gas producers in the United States, and natural gas-fired generation provides reliable, dispatchable power that is essential to maintaining grid stability. It also underpins Pennsylvania’s competitiveness in manufacturing and industrial sectors. </w:t>
      </w:r>
    </w:p>
    <w:p w14:paraId="01EFFA2B" w14:textId="77777777" w:rsidR="003E5224" w:rsidRPr="003E5224" w:rsidRDefault="003E5224" w:rsidP="003E5224">
      <w:pPr>
        <w:tabs>
          <w:tab w:val="left" w:pos="5595"/>
        </w:tabs>
      </w:pPr>
      <w:r w:rsidRPr="003E5224">
        <w:t xml:space="preserve">Despite these advantages, several barriers </w:t>
      </w:r>
      <w:proofErr w:type="gramStart"/>
      <w:r w:rsidRPr="003E5224">
        <w:t>are limiting</w:t>
      </w:r>
      <w:proofErr w:type="gramEnd"/>
      <w:r w:rsidRPr="003E5224">
        <w:t xml:space="preserve"> the full utilization of this resource: </w:t>
      </w:r>
    </w:p>
    <w:p w14:paraId="6E5D0269" w14:textId="77777777" w:rsidR="003E5224" w:rsidRPr="003E5224" w:rsidRDefault="003E5224" w:rsidP="003E5224">
      <w:pPr>
        <w:numPr>
          <w:ilvl w:val="0"/>
          <w:numId w:val="1"/>
        </w:numPr>
        <w:tabs>
          <w:tab w:val="left" w:pos="5595"/>
        </w:tabs>
      </w:pPr>
      <w:r w:rsidRPr="003E5224">
        <w:t xml:space="preserve">Permitting and </w:t>
      </w:r>
      <w:proofErr w:type="gramStart"/>
      <w:r w:rsidRPr="003E5224">
        <w:t>siting</w:t>
      </w:r>
      <w:proofErr w:type="gramEnd"/>
      <w:r w:rsidRPr="003E5224">
        <w:t xml:space="preserve"> processes for new generation and infrastructure can be lengthy and unpredictable </w:t>
      </w:r>
    </w:p>
    <w:p w14:paraId="0132583B" w14:textId="77777777" w:rsidR="003E5224" w:rsidRPr="003E5224" w:rsidRDefault="003E5224" w:rsidP="003E5224">
      <w:pPr>
        <w:numPr>
          <w:ilvl w:val="0"/>
          <w:numId w:val="2"/>
        </w:numPr>
        <w:tabs>
          <w:tab w:val="left" w:pos="5595"/>
        </w:tabs>
      </w:pPr>
      <w:r w:rsidRPr="003E5224">
        <w:t xml:space="preserve">Constraints in </w:t>
      </w:r>
      <w:proofErr w:type="gramStart"/>
      <w:r w:rsidRPr="003E5224">
        <w:t>pipeline</w:t>
      </w:r>
      <w:proofErr w:type="gramEnd"/>
      <w:r w:rsidRPr="003E5224">
        <w:t xml:space="preserve"> and supporting infrastructure continue to affect project feasibility </w:t>
      </w:r>
    </w:p>
    <w:p w14:paraId="036F9100" w14:textId="77777777" w:rsidR="003E5224" w:rsidRPr="003E5224" w:rsidRDefault="003E5224" w:rsidP="003E5224">
      <w:pPr>
        <w:numPr>
          <w:ilvl w:val="0"/>
          <w:numId w:val="3"/>
        </w:numPr>
        <w:tabs>
          <w:tab w:val="left" w:pos="5595"/>
        </w:tabs>
      </w:pPr>
      <w:r w:rsidRPr="003E5224">
        <w:t>Policy and market uncertainty complicate long-term investment decisions </w:t>
      </w:r>
    </w:p>
    <w:p w14:paraId="6A1A5E01" w14:textId="77777777" w:rsidR="003E5224" w:rsidRPr="003E5224" w:rsidRDefault="003E5224" w:rsidP="003E5224">
      <w:pPr>
        <w:tabs>
          <w:tab w:val="left" w:pos="5595"/>
        </w:tabs>
      </w:pPr>
      <w:r w:rsidRPr="003E5224">
        <w:t>To address these challenges, Pennsylvania would need to: </w:t>
      </w:r>
    </w:p>
    <w:p w14:paraId="109529C3" w14:textId="77777777" w:rsidR="003E5224" w:rsidRPr="003E5224" w:rsidRDefault="003E5224" w:rsidP="003E5224">
      <w:pPr>
        <w:numPr>
          <w:ilvl w:val="0"/>
          <w:numId w:val="4"/>
        </w:numPr>
        <w:tabs>
          <w:tab w:val="left" w:pos="5595"/>
        </w:tabs>
      </w:pPr>
      <w:r w:rsidRPr="003E5224">
        <w:t>Accelerate and streamline approval processes for natural gas generation and associated infrastructure </w:t>
      </w:r>
    </w:p>
    <w:p w14:paraId="456FC673" w14:textId="77777777" w:rsidR="003E5224" w:rsidRPr="003E5224" w:rsidRDefault="003E5224" w:rsidP="003E5224">
      <w:pPr>
        <w:numPr>
          <w:ilvl w:val="0"/>
          <w:numId w:val="5"/>
        </w:numPr>
        <w:tabs>
          <w:tab w:val="left" w:pos="5595"/>
        </w:tabs>
      </w:pPr>
      <w:r w:rsidRPr="003E5224">
        <w:lastRenderedPageBreak/>
        <w:t>Support the development of modern, high-efficiency facilities designed to evolve over time, including compatibility with fuel blending and carbon capture technologies </w:t>
      </w:r>
    </w:p>
    <w:p w14:paraId="6C1D14D9" w14:textId="77777777" w:rsidR="003E5224" w:rsidRPr="003E5224" w:rsidRDefault="003E5224" w:rsidP="003E5224">
      <w:pPr>
        <w:numPr>
          <w:ilvl w:val="0"/>
          <w:numId w:val="6"/>
        </w:numPr>
        <w:tabs>
          <w:tab w:val="left" w:pos="5595"/>
        </w:tabs>
      </w:pPr>
      <w:r w:rsidRPr="003E5224">
        <w:t>Provide clear and consistent policy signals that recognize the role of natural gas in ensuring reliability during the transition to a lower-carbon energy system </w:t>
      </w:r>
    </w:p>
    <w:p w14:paraId="32B5B854" w14:textId="77777777" w:rsidR="003E5224" w:rsidRPr="003E5224" w:rsidRDefault="003E5224" w:rsidP="003E5224">
      <w:pPr>
        <w:tabs>
          <w:tab w:val="left" w:pos="5595"/>
        </w:tabs>
      </w:pPr>
      <w:r w:rsidRPr="003E5224">
        <w:t>Natural gas is not simply a transitional fuel; it is a foundational asset that enables both near-term reliability and long-term system flexibility. </w:t>
      </w:r>
    </w:p>
    <w:p w14:paraId="006D2CC9" w14:textId="77777777" w:rsidR="003E5224" w:rsidRPr="003E5224" w:rsidRDefault="003E5224" w:rsidP="003E5224">
      <w:pPr>
        <w:tabs>
          <w:tab w:val="left" w:pos="5595"/>
        </w:tabs>
      </w:pPr>
      <w:r w:rsidRPr="003E5224">
        <w:rPr>
          <w:b/>
          <w:bCs/>
        </w:rPr>
        <w:t>Nuclear Energy: A Strategic Opportunity for the Commonwealth</w:t>
      </w:r>
      <w:r w:rsidRPr="003E5224">
        <w:t> </w:t>
      </w:r>
    </w:p>
    <w:p w14:paraId="775BCC52" w14:textId="77777777" w:rsidR="003E5224" w:rsidRPr="003E5224" w:rsidRDefault="003E5224" w:rsidP="003E5224">
      <w:pPr>
        <w:tabs>
          <w:tab w:val="left" w:pos="5595"/>
        </w:tabs>
      </w:pPr>
      <w:r w:rsidRPr="003E5224">
        <w:t>Pennsylvania is exceptionally well positioned to lead in nuclear energy. The Commonwealth is among the top states in nuclear generation and is home to globally recognized companies, a deep manufacturing base, and a highly skilled workforce. These assets create a unique opportunity to participate in and benefit from the next generation of nuclear deployment. </w:t>
      </w:r>
    </w:p>
    <w:p w14:paraId="17BA5390" w14:textId="77777777" w:rsidR="003E5224" w:rsidRPr="003E5224" w:rsidRDefault="003E5224" w:rsidP="003E5224">
      <w:pPr>
        <w:tabs>
          <w:tab w:val="left" w:pos="5595"/>
        </w:tabs>
      </w:pPr>
      <w:r w:rsidRPr="003E5224">
        <w:t>Realizing this opportunity will require action in several areas: </w:t>
      </w:r>
    </w:p>
    <w:p w14:paraId="62247E5F" w14:textId="77777777" w:rsidR="003E5224" w:rsidRPr="003E5224" w:rsidRDefault="003E5224" w:rsidP="003E5224">
      <w:pPr>
        <w:numPr>
          <w:ilvl w:val="0"/>
          <w:numId w:val="7"/>
        </w:numPr>
        <w:tabs>
          <w:tab w:val="left" w:pos="5595"/>
        </w:tabs>
      </w:pPr>
      <w:r w:rsidRPr="003E5224">
        <w:t>Extending the operational life of existing nuclear facilities, which provide reliable, carbon-free baseload power </w:t>
      </w:r>
    </w:p>
    <w:p w14:paraId="2D10F228" w14:textId="77777777" w:rsidR="003E5224" w:rsidRPr="003E5224" w:rsidRDefault="003E5224" w:rsidP="003E5224">
      <w:pPr>
        <w:numPr>
          <w:ilvl w:val="0"/>
          <w:numId w:val="8"/>
        </w:numPr>
        <w:tabs>
          <w:tab w:val="left" w:pos="5595"/>
        </w:tabs>
      </w:pPr>
      <w:r w:rsidRPr="003E5224">
        <w:t>Supporting the deployment of advanced nuclear technologies, including modular reactors and next-generation designs </w:t>
      </w:r>
    </w:p>
    <w:p w14:paraId="7E26B4BB" w14:textId="77777777" w:rsidR="003E5224" w:rsidRPr="003E5224" w:rsidRDefault="003E5224" w:rsidP="003E5224">
      <w:pPr>
        <w:numPr>
          <w:ilvl w:val="0"/>
          <w:numId w:val="9"/>
        </w:numPr>
        <w:tabs>
          <w:tab w:val="left" w:pos="5595"/>
        </w:tabs>
      </w:pPr>
      <w:r w:rsidRPr="003E5224">
        <w:t>Strengthening the nuclear supply chain, where Pennsylvania companies are already competitive and can expand their role </w:t>
      </w:r>
    </w:p>
    <w:p w14:paraId="2DF05FB9" w14:textId="77777777" w:rsidR="003E5224" w:rsidRPr="003E5224" w:rsidRDefault="003E5224" w:rsidP="003E5224">
      <w:pPr>
        <w:tabs>
          <w:tab w:val="left" w:pos="5595"/>
        </w:tabs>
      </w:pPr>
      <w:r w:rsidRPr="003E5224">
        <w:t>State policy can play an important role by: </w:t>
      </w:r>
    </w:p>
    <w:p w14:paraId="7995045C" w14:textId="77777777" w:rsidR="003E5224" w:rsidRPr="003E5224" w:rsidRDefault="003E5224" w:rsidP="003E5224">
      <w:pPr>
        <w:numPr>
          <w:ilvl w:val="0"/>
          <w:numId w:val="10"/>
        </w:numPr>
        <w:tabs>
          <w:tab w:val="left" w:pos="5595"/>
        </w:tabs>
      </w:pPr>
      <w:r w:rsidRPr="003E5224">
        <w:t>Providing clear and stable frameworks that support both existing and new nuclear assets </w:t>
      </w:r>
    </w:p>
    <w:p w14:paraId="64D53A8D" w14:textId="77777777" w:rsidR="003E5224" w:rsidRPr="003E5224" w:rsidRDefault="003E5224" w:rsidP="003E5224">
      <w:pPr>
        <w:numPr>
          <w:ilvl w:val="0"/>
          <w:numId w:val="11"/>
        </w:numPr>
        <w:tabs>
          <w:tab w:val="left" w:pos="5595"/>
        </w:tabs>
      </w:pPr>
      <w:r w:rsidRPr="003E5224">
        <w:t>Aligning with federal initiatives to accelerate deployment timelines </w:t>
      </w:r>
    </w:p>
    <w:p w14:paraId="63341A3F" w14:textId="77777777" w:rsidR="003E5224" w:rsidRPr="003E5224" w:rsidRDefault="003E5224" w:rsidP="003E5224">
      <w:pPr>
        <w:numPr>
          <w:ilvl w:val="0"/>
          <w:numId w:val="12"/>
        </w:numPr>
        <w:tabs>
          <w:tab w:val="left" w:pos="5595"/>
        </w:tabs>
      </w:pPr>
      <w:r w:rsidRPr="003E5224">
        <w:t>Investing in workforce development and supply chain readiness </w:t>
      </w:r>
    </w:p>
    <w:p w14:paraId="60DFD9B9" w14:textId="77777777" w:rsidR="003E5224" w:rsidRPr="003E5224" w:rsidRDefault="003E5224" w:rsidP="003E5224">
      <w:pPr>
        <w:tabs>
          <w:tab w:val="left" w:pos="5595"/>
        </w:tabs>
      </w:pPr>
      <w:r w:rsidRPr="003E5224">
        <w:t>If advanced nuclear is to scale in the United States, Pennsylvania has the potential to be a central hub for both deployment and manufacturing. </w:t>
      </w:r>
    </w:p>
    <w:p w14:paraId="06B06B32" w14:textId="77777777" w:rsidR="003E5224" w:rsidRPr="003E5224" w:rsidRDefault="003E5224" w:rsidP="003E5224">
      <w:pPr>
        <w:tabs>
          <w:tab w:val="left" w:pos="5595"/>
        </w:tabs>
      </w:pPr>
      <w:r w:rsidRPr="003E5224">
        <w:rPr>
          <w:b/>
          <w:bCs/>
        </w:rPr>
        <w:t>Barriers to Entry for New Generation</w:t>
      </w:r>
      <w:r w:rsidRPr="003E5224">
        <w:t> </w:t>
      </w:r>
    </w:p>
    <w:p w14:paraId="390D209A" w14:textId="77777777" w:rsidR="003E5224" w:rsidRPr="003E5224" w:rsidRDefault="003E5224" w:rsidP="003E5224">
      <w:pPr>
        <w:tabs>
          <w:tab w:val="left" w:pos="5595"/>
        </w:tabs>
      </w:pPr>
      <w:r w:rsidRPr="003E5224">
        <w:t>A consistent theme across stakeholder engagement is that Pennsylvania’s primary barrier to new generation is not resource availability, but process. </w:t>
      </w:r>
    </w:p>
    <w:p w14:paraId="47A879B4" w14:textId="77777777" w:rsidR="003E5224" w:rsidRPr="003E5224" w:rsidRDefault="003E5224" w:rsidP="003E5224">
      <w:pPr>
        <w:tabs>
          <w:tab w:val="left" w:pos="5595"/>
        </w:tabs>
      </w:pPr>
      <w:r w:rsidRPr="003E5224">
        <w:lastRenderedPageBreak/>
        <w:t>Developers and investors frequently encounter: </w:t>
      </w:r>
    </w:p>
    <w:p w14:paraId="2551CC5A" w14:textId="77777777" w:rsidR="003E5224" w:rsidRPr="003E5224" w:rsidRDefault="003E5224" w:rsidP="003E5224">
      <w:pPr>
        <w:numPr>
          <w:ilvl w:val="0"/>
          <w:numId w:val="13"/>
        </w:numPr>
        <w:tabs>
          <w:tab w:val="left" w:pos="5595"/>
        </w:tabs>
      </w:pPr>
      <w:r w:rsidRPr="003E5224">
        <w:t>Fragmented permitting requirements across multiple agencies </w:t>
      </w:r>
    </w:p>
    <w:p w14:paraId="4E1969FE" w14:textId="77777777" w:rsidR="003E5224" w:rsidRPr="003E5224" w:rsidRDefault="003E5224" w:rsidP="003E5224">
      <w:pPr>
        <w:numPr>
          <w:ilvl w:val="0"/>
          <w:numId w:val="14"/>
        </w:numPr>
        <w:tabs>
          <w:tab w:val="left" w:pos="5595"/>
        </w:tabs>
      </w:pPr>
      <w:r w:rsidRPr="003E5224">
        <w:t>Lack of a centralized decision-making process </w:t>
      </w:r>
    </w:p>
    <w:p w14:paraId="4004122F" w14:textId="77777777" w:rsidR="003E5224" w:rsidRPr="003E5224" w:rsidRDefault="003E5224" w:rsidP="003E5224">
      <w:pPr>
        <w:numPr>
          <w:ilvl w:val="0"/>
          <w:numId w:val="15"/>
        </w:numPr>
        <w:tabs>
          <w:tab w:val="left" w:pos="5595"/>
        </w:tabs>
      </w:pPr>
      <w:r w:rsidRPr="003E5224">
        <w:t>Uncertainty regarding timelines and outcomes </w:t>
      </w:r>
    </w:p>
    <w:p w14:paraId="773A77E7" w14:textId="77777777" w:rsidR="003E5224" w:rsidRPr="003E5224" w:rsidRDefault="003E5224" w:rsidP="003E5224">
      <w:pPr>
        <w:tabs>
          <w:tab w:val="left" w:pos="5595"/>
        </w:tabs>
      </w:pPr>
      <w:r w:rsidRPr="003E5224">
        <w:t>In a competitive national environment, these factors can delay or deter investment. Addressing these barriers will require: </w:t>
      </w:r>
    </w:p>
    <w:p w14:paraId="1916C92A" w14:textId="77777777" w:rsidR="003E5224" w:rsidRPr="003E5224" w:rsidRDefault="003E5224" w:rsidP="003E5224">
      <w:pPr>
        <w:numPr>
          <w:ilvl w:val="0"/>
          <w:numId w:val="16"/>
        </w:numPr>
        <w:tabs>
          <w:tab w:val="left" w:pos="5595"/>
        </w:tabs>
      </w:pPr>
      <w:r w:rsidRPr="003E5224">
        <w:t xml:space="preserve">Establishing a more streamlined and coordinated </w:t>
      </w:r>
      <w:proofErr w:type="gramStart"/>
      <w:r w:rsidRPr="003E5224">
        <w:t>siting</w:t>
      </w:r>
      <w:proofErr w:type="gramEnd"/>
      <w:r w:rsidRPr="003E5224">
        <w:t xml:space="preserve"> and permitting framework </w:t>
      </w:r>
    </w:p>
    <w:p w14:paraId="1A3007A2" w14:textId="77777777" w:rsidR="003E5224" w:rsidRPr="003E5224" w:rsidRDefault="003E5224" w:rsidP="003E5224">
      <w:pPr>
        <w:numPr>
          <w:ilvl w:val="0"/>
          <w:numId w:val="17"/>
        </w:numPr>
        <w:tabs>
          <w:tab w:val="left" w:pos="5595"/>
        </w:tabs>
      </w:pPr>
      <w:r w:rsidRPr="003E5224">
        <w:t>Providing clear timelines and greater transparency in decision-making </w:t>
      </w:r>
    </w:p>
    <w:p w14:paraId="3FA18E3E" w14:textId="77777777" w:rsidR="003E5224" w:rsidRPr="003E5224" w:rsidRDefault="003E5224" w:rsidP="003E5224">
      <w:pPr>
        <w:numPr>
          <w:ilvl w:val="0"/>
          <w:numId w:val="18"/>
        </w:numPr>
        <w:tabs>
          <w:tab w:val="left" w:pos="5595"/>
        </w:tabs>
      </w:pPr>
      <w:r w:rsidRPr="003E5224">
        <w:t>Improving coordination across agencies to reduce duplication and inefficiency </w:t>
      </w:r>
    </w:p>
    <w:p w14:paraId="33DAC9CC" w14:textId="77777777" w:rsidR="003E5224" w:rsidRPr="003E5224" w:rsidRDefault="003E5224" w:rsidP="003E5224">
      <w:pPr>
        <w:tabs>
          <w:tab w:val="left" w:pos="5595"/>
        </w:tabs>
      </w:pPr>
      <w:r w:rsidRPr="003E5224">
        <w:t>Enhancing predictability and efficiency in the development process will be essential to accelerating the deployment of new generation resources. </w:t>
      </w:r>
    </w:p>
    <w:p w14:paraId="6B7C78D0" w14:textId="77777777" w:rsidR="003E5224" w:rsidRPr="003E5224" w:rsidRDefault="003E5224" w:rsidP="003E5224">
      <w:pPr>
        <w:tabs>
          <w:tab w:val="left" w:pos="5595"/>
        </w:tabs>
      </w:pPr>
      <w:r w:rsidRPr="003E5224">
        <w:rPr>
          <w:b/>
          <w:bCs/>
        </w:rPr>
        <w:t>Incentives and Competitive Positioning</w:t>
      </w:r>
      <w:r w:rsidRPr="003E5224">
        <w:t> </w:t>
      </w:r>
    </w:p>
    <w:p w14:paraId="2133BE5F" w14:textId="77777777" w:rsidR="003E5224" w:rsidRPr="003E5224" w:rsidRDefault="003E5224" w:rsidP="003E5224">
      <w:pPr>
        <w:tabs>
          <w:tab w:val="left" w:pos="5595"/>
        </w:tabs>
      </w:pPr>
      <w:r w:rsidRPr="003E5224">
        <w:t>Pennsylvania is competing with states that have developed comprehensive and coordinated incentive packages to attract energy and industrial investment. While the Commonwealth has several effective programs, additional steps are needed to strengthen overall competitiveness. </w:t>
      </w:r>
    </w:p>
    <w:p w14:paraId="591B1143" w14:textId="77777777" w:rsidR="003E5224" w:rsidRPr="003E5224" w:rsidRDefault="003E5224" w:rsidP="003E5224">
      <w:pPr>
        <w:tabs>
          <w:tab w:val="left" w:pos="5595"/>
        </w:tabs>
      </w:pPr>
      <w:r w:rsidRPr="003E5224">
        <w:t>Key priorities include: </w:t>
      </w:r>
    </w:p>
    <w:p w14:paraId="7E720D81" w14:textId="77777777" w:rsidR="003E5224" w:rsidRPr="003E5224" w:rsidRDefault="003E5224" w:rsidP="003E5224">
      <w:pPr>
        <w:numPr>
          <w:ilvl w:val="0"/>
          <w:numId w:val="19"/>
        </w:numPr>
        <w:tabs>
          <w:tab w:val="left" w:pos="5595"/>
        </w:tabs>
      </w:pPr>
      <w:r w:rsidRPr="003E5224">
        <w:t>Expanding incentives for generation, storage, and supporting infrastructure </w:t>
      </w:r>
    </w:p>
    <w:p w14:paraId="787D09B7" w14:textId="77777777" w:rsidR="003E5224" w:rsidRPr="003E5224" w:rsidRDefault="003E5224" w:rsidP="003E5224">
      <w:pPr>
        <w:numPr>
          <w:ilvl w:val="0"/>
          <w:numId w:val="20"/>
        </w:numPr>
        <w:tabs>
          <w:tab w:val="left" w:pos="5595"/>
        </w:tabs>
      </w:pPr>
      <w:r w:rsidRPr="003E5224">
        <w:t>Supporting the development of energy-related manufacturing and supply chains </w:t>
      </w:r>
    </w:p>
    <w:p w14:paraId="6FEABB6C" w14:textId="77777777" w:rsidR="003E5224" w:rsidRPr="003E5224" w:rsidRDefault="003E5224" w:rsidP="003E5224">
      <w:pPr>
        <w:numPr>
          <w:ilvl w:val="0"/>
          <w:numId w:val="21"/>
        </w:numPr>
        <w:tabs>
          <w:tab w:val="left" w:pos="5595"/>
        </w:tabs>
      </w:pPr>
      <w:r w:rsidRPr="003E5224">
        <w:t>Investing in workforce development and training aligned with energy sector needs </w:t>
      </w:r>
    </w:p>
    <w:p w14:paraId="1B250783" w14:textId="77777777" w:rsidR="003E5224" w:rsidRPr="003E5224" w:rsidRDefault="003E5224" w:rsidP="003E5224">
      <w:pPr>
        <w:numPr>
          <w:ilvl w:val="0"/>
          <w:numId w:val="22"/>
        </w:numPr>
        <w:tabs>
          <w:tab w:val="left" w:pos="5595"/>
        </w:tabs>
      </w:pPr>
      <w:r w:rsidRPr="003E5224">
        <w:t>Ensuring that incentives are flexible and inclusive of multiple technologies </w:t>
      </w:r>
    </w:p>
    <w:p w14:paraId="769DE801" w14:textId="77777777" w:rsidR="003E5224" w:rsidRPr="003E5224" w:rsidRDefault="003E5224" w:rsidP="003E5224">
      <w:pPr>
        <w:tabs>
          <w:tab w:val="left" w:pos="5595"/>
        </w:tabs>
      </w:pPr>
      <w:r w:rsidRPr="003E5224">
        <w:t>A more integrated approach will better position Pennsylvania to compete for large-scale, long-term investment. </w:t>
      </w:r>
    </w:p>
    <w:p w14:paraId="22DA7024" w14:textId="77777777" w:rsidR="003E5224" w:rsidRPr="003E5224" w:rsidRDefault="003E5224" w:rsidP="003E5224">
      <w:pPr>
        <w:tabs>
          <w:tab w:val="left" w:pos="5595"/>
        </w:tabs>
      </w:pPr>
      <w:r w:rsidRPr="003E5224">
        <w:rPr>
          <w:b/>
          <w:bCs/>
        </w:rPr>
        <w:t>PJM Market Considerations</w:t>
      </w:r>
      <w:r w:rsidRPr="003E5224">
        <w:t> </w:t>
      </w:r>
    </w:p>
    <w:p w14:paraId="310CDFA2" w14:textId="77777777" w:rsidR="003E5224" w:rsidRPr="003E5224" w:rsidRDefault="003E5224" w:rsidP="003E5224">
      <w:pPr>
        <w:tabs>
          <w:tab w:val="left" w:pos="5595"/>
        </w:tabs>
      </w:pPr>
      <w:r w:rsidRPr="003E5224">
        <w:t>PJM plays a central role in ensuring reliability across the region, and its market structure has historically supported efficient resource allocation. However, current conditions suggest that the system is under increasing strain. Challenges include: </w:t>
      </w:r>
    </w:p>
    <w:p w14:paraId="55EC196D" w14:textId="77777777" w:rsidR="003E5224" w:rsidRPr="003E5224" w:rsidRDefault="003E5224" w:rsidP="003E5224">
      <w:pPr>
        <w:numPr>
          <w:ilvl w:val="0"/>
          <w:numId w:val="23"/>
        </w:numPr>
        <w:tabs>
          <w:tab w:val="left" w:pos="5595"/>
        </w:tabs>
      </w:pPr>
      <w:r w:rsidRPr="003E5224">
        <w:t>Delays in the interconnection of new generation resources </w:t>
      </w:r>
    </w:p>
    <w:p w14:paraId="5D9840B0" w14:textId="77777777" w:rsidR="003E5224" w:rsidRPr="003E5224" w:rsidRDefault="003E5224" w:rsidP="003E5224">
      <w:pPr>
        <w:numPr>
          <w:ilvl w:val="0"/>
          <w:numId w:val="24"/>
        </w:numPr>
        <w:tabs>
          <w:tab w:val="left" w:pos="5595"/>
        </w:tabs>
      </w:pPr>
      <w:r w:rsidRPr="003E5224">
        <w:lastRenderedPageBreak/>
        <w:t>Market signals indicating tightening supply and rising costs </w:t>
      </w:r>
    </w:p>
    <w:p w14:paraId="34F694D4" w14:textId="77777777" w:rsidR="003E5224" w:rsidRPr="003E5224" w:rsidRDefault="003E5224" w:rsidP="003E5224">
      <w:pPr>
        <w:numPr>
          <w:ilvl w:val="0"/>
          <w:numId w:val="25"/>
        </w:numPr>
        <w:tabs>
          <w:tab w:val="left" w:pos="5595"/>
        </w:tabs>
      </w:pPr>
      <w:r w:rsidRPr="003E5224">
        <w:t>A growing gap between projected demand and the pace of new resource deployment </w:t>
      </w:r>
    </w:p>
    <w:p w14:paraId="72B84A47" w14:textId="77777777" w:rsidR="003E5224" w:rsidRPr="003E5224" w:rsidRDefault="003E5224" w:rsidP="003E5224">
      <w:pPr>
        <w:tabs>
          <w:tab w:val="left" w:pos="5595"/>
        </w:tabs>
      </w:pPr>
      <w:r w:rsidRPr="003E5224">
        <w:t>Pennsylvania should continue to engage constructively with PJM on market reforms and interconnection improvements. At the same time, it is appropriate to evaluate whether additional state-level tools may be necessary to ensure adequate and timely resource development. This may include consideration of complementary approaches that: </w:t>
      </w:r>
    </w:p>
    <w:p w14:paraId="230667A7" w14:textId="77777777" w:rsidR="003E5224" w:rsidRPr="003E5224" w:rsidRDefault="003E5224" w:rsidP="003E5224">
      <w:pPr>
        <w:numPr>
          <w:ilvl w:val="0"/>
          <w:numId w:val="26"/>
        </w:numPr>
        <w:tabs>
          <w:tab w:val="left" w:pos="5595"/>
        </w:tabs>
      </w:pPr>
      <w:r w:rsidRPr="003E5224">
        <w:t>Support the entry of new generation resources </w:t>
      </w:r>
    </w:p>
    <w:p w14:paraId="47C32DD6" w14:textId="77777777" w:rsidR="003E5224" w:rsidRPr="003E5224" w:rsidRDefault="003E5224" w:rsidP="003E5224">
      <w:pPr>
        <w:numPr>
          <w:ilvl w:val="0"/>
          <w:numId w:val="27"/>
        </w:numPr>
        <w:tabs>
          <w:tab w:val="left" w:pos="5595"/>
        </w:tabs>
      </w:pPr>
      <w:r w:rsidRPr="003E5224">
        <w:t>Provide mechanisms to retain critical existing assets </w:t>
      </w:r>
    </w:p>
    <w:p w14:paraId="25C23F1D" w14:textId="77777777" w:rsidR="003E5224" w:rsidRPr="003E5224" w:rsidRDefault="003E5224" w:rsidP="003E5224">
      <w:pPr>
        <w:numPr>
          <w:ilvl w:val="0"/>
          <w:numId w:val="28"/>
        </w:numPr>
        <w:tabs>
          <w:tab w:val="left" w:pos="5595"/>
        </w:tabs>
      </w:pPr>
      <w:r w:rsidRPr="003E5224">
        <w:t>Address near-term reliability needs while enabling long-term investment </w:t>
      </w:r>
    </w:p>
    <w:p w14:paraId="27FC033E" w14:textId="77777777" w:rsidR="003E5224" w:rsidRPr="003E5224" w:rsidRDefault="003E5224" w:rsidP="003E5224">
      <w:pPr>
        <w:tabs>
          <w:tab w:val="left" w:pos="5595"/>
        </w:tabs>
      </w:pPr>
      <w:r w:rsidRPr="003E5224">
        <w:t> </w:t>
      </w:r>
    </w:p>
    <w:p w14:paraId="0A1534D9" w14:textId="77777777" w:rsidR="003E5224" w:rsidRPr="003E5224" w:rsidRDefault="003E5224" w:rsidP="003E5224">
      <w:pPr>
        <w:tabs>
          <w:tab w:val="left" w:pos="5595"/>
        </w:tabs>
      </w:pPr>
      <w:r w:rsidRPr="003E5224">
        <w:rPr>
          <w:b/>
          <w:bCs/>
        </w:rPr>
        <w:t>Conclusion</w:t>
      </w:r>
      <w:r w:rsidRPr="003E5224">
        <w:t> </w:t>
      </w:r>
    </w:p>
    <w:p w14:paraId="6A991BB5" w14:textId="77777777" w:rsidR="003E5224" w:rsidRPr="003E5224" w:rsidRDefault="003E5224" w:rsidP="003E5224">
      <w:pPr>
        <w:tabs>
          <w:tab w:val="left" w:pos="5595"/>
        </w:tabs>
      </w:pPr>
      <w:r w:rsidRPr="003E5224">
        <w:t>Pennsylvania possesses a unique combination of assets: abundant natural resources, a strong industrial base, a skilled workforce, and a legacy of energy leadership. The opportunity before the Commonwealth is significant. With the right policies and a coordinated approach, Pennsylvania can continue to lead in energy production while capturing new economic growth tied to emerging demand. </w:t>
      </w:r>
    </w:p>
    <w:p w14:paraId="0EC8D569" w14:textId="77777777" w:rsidR="003E5224" w:rsidRPr="003E5224" w:rsidRDefault="003E5224" w:rsidP="003E5224">
      <w:pPr>
        <w:tabs>
          <w:tab w:val="left" w:pos="5595"/>
        </w:tabs>
      </w:pPr>
      <w:r w:rsidRPr="003E5224">
        <w:t>Achieving this outcome will require: </w:t>
      </w:r>
    </w:p>
    <w:p w14:paraId="49AFCAC7" w14:textId="77777777" w:rsidR="003E5224" w:rsidRPr="003E5224" w:rsidRDefault="003E5224" w:rsidP="003E5224">
      <w:pPr>
        <w:numPr>
          <w:ilvl w:val="0"/>
          <w:numId w:val="29"/>
        </w:numPr>
        <w:tabs>
          <w:tab w:val="left" w:pos="5595"/>
        </w:tabs>
      </w:pPr>
      <w:r w:rsidRPr="003E5224">
        <w:t>Accelerating the development of new generation resources </w:t>
      </w:r>
    </w:p>
    <w:p w14:paraId="7802FF85" w14:textId="77777777" w:rsidR="003E5224" w:rsidRPr="003E5224" w:rsidRDefault="003E5224" w:rsidP="003E5224">
      <w:pPr>
        <w:numPr>
          <w:ilvl w:val="0"/>
          <w:numId w:val="30"/>
        </w:numPr>
        <w:tabs>
          <w:tab w:val="left" w:pos="5595"/>
        </w:tabs>
      </w:pPr>
      <w:r w:rsidRPr="003E5224">
        <w:t>Reducing barriers to project execution </w:t>
      </w:r>
    </w:p>
    <w:p w14:paraId="2611793E" w14:textId="77777777" w:rsidR="003E5224" w:rsidRPr="003E5224" w:rsidRDefault="003E5224" w:rsidP="003E5224">
      <w:pPr>
        <w:numPr>
          <w:ilvl w:val="0"/>
          <w:numId w:val="31"/>
        </w:numPr>
        <w:tabs>
          <w:tab w:val="left" w:pos="5595"/>
        </w:tabs>
      </w:pPr>
      <w:r w:rsidRPr="003E5224">
        <w:t>Aligning incentives and policy frameworks with competitive realities </w:t>
      </w:r>
    </w:p>
    <w:p w14:paraId="076516F8" w14:textId="77777777" w:rsidR="003E5224" w:rsidRPr="003E5224" w:rsidRDefault="003E5224" w:rsidP="003E5224">
      <w:pPr>
        <w:numPr>
          <w:ilvl w:val="0"/>
          <w:numId w:val="32"/>
        </w:numPr>
        <w:tabs>
          <w:tab w:val="left" w:pos="5595"/>
        </w:tabs>
      </w:pPr>
      <w:r w:rsidRPr="003E5224">
        <w:t>Ensuring that both near-term reliability and long-term innovation are addressed </w:t>
      </w:r>
    </w:p>
    <w:p w14:paraId="4C2EDA98" w14:textId="77777777" w:rsidR="003E5224" w:rsidRPr="003E5224" w:rsidRDefault="003E5224" w:rsidP="003E5224">
      <w:pPr>
        <w:tabs>
          <w:tab w:val="left" w:pos="5595"/>
        </w:tabs>
      </w:pPr>
      <w:r w:rsidRPr="003E5224">
        <w:t>We appreciate the Committee’s attention to these issues and look forward to continued collaboration. </w:t>
      </w:r>
    </w:p>
    <w:p w14:paraId="3C84E365" w14:textId="7372EB52" w:rsidR="003E5224" w:rsidRPr="003E5224" w:rsidRDefault="003E5224" w:rsidP="003E5224">
      <w:pPr>
        <w:tabs>
          <w:tab w:val="left" w:pos="5595"/>
        </w:tabs>
      </w:pPr>
      <w:r w:rsidRPr="003E5224">
        <w:t>Respectfully, </w:t>
      </w:r>
      <w:r w:rsidRPr="003E5224">
        <w:br/>
      </w:r>
      <w:r>
        <w:t xml:space="preserve">Benjamin Bush </w:t>
      </w:r>
      <w:r>
        <w:tab/>
      </w:r>
      <w:r w:rsidRPr="003E5224">
        <w:t> </w:t>
      </w:r>
      <w:r w:rsidRPr="003E5224">
        <w:br/>
      </w:r>
      <w:r>
        <w:t xml:space="preserve">Vice President, Public Affairs </w:t>
      </w:r>
      <w:r w:rsidRPr="003E5224">
        <w:t> </w:t>
      </w:r>
      <w:r w:rsidRPr="003E5224">
        <w:br/>
        <w:t>Allegheny Conference on Community Development </w:t>
      </w:r>
    </w:p>
    <w:p w14:paraId="5A55ABF2" w14:textId="51145BED" w:rsidR="003E5224" w:rsidRPr="003E5224" w:rsidRDefault="003E5224" w:rsidP="003E5224">
      <w:pPr>
        <w:tabs>
          <w:tab w:val="left" w:pos="5595"/>
        </w:tabs>
      </w:pPr>
    </w:p>
    <w:sectPr w:rsidR="003E5224" w:rsidRPr="003E5224" w:rsidSect="003E5224">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CEA6" w14:textId="77777777" w:rsidR="00916009" w:rsidRDefault="00916009" w:rsidP="003E5224">
      <w:pPr>
        <w:spacing w:after="0" w:line="240" w:lineRule="auto"/>
      </w:pPr>
      <w:r>
        <w:separator/>
      </w:r>
    </w:p>
  </w:endnote>
  <w:endnote w:type="continuationSeparator" w:id="0">
    <w:p w14:paraId="2E55CE69" w14:textId="77777777" w:rsidR="00916009" w:rsidRDefault="00916009" w:rsidP="003E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69E18" w14:textId="77777777" w:rsidR="00916009" w:rsidRDefault="00916009" w:rsidP="003E5224">
      <w:pPr>
        <w:spacing w:after="0" w:line="240" w:lineRule="auto"/>
      </w:pPr>
      <w:r>
        <w:separator/>
      </w:r>
    </w:p>
  </w:footnote>
  <w:footnote w:type="continuationSeparator" w:id="0">
    <w:p w14:paraId="3DDCC919" w14:textId="77777777" w:rsidR="00916009" w:rsidRDefault="00916009" w:rsidP="003E5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C158" w14:textId="7973AF90" w:rsidR="003E5224" w:rsidRDefault="003E5224">
    <w:pPr>
      <w:pStyle w:val="Header"/>
    </w:pPr>
    <w:r>
      <w:rPr>
        <w:noProof/>
      </w:rPr>
      <w:drawing>
        <wp:inline distT="0" distB="0" distL="0" distR="0" wp14:anchorId="66232C9C" wp14:editId="2368FFE9">
          <wp:extent cx="5943600" cy="935355"/>
          <wp:effectExtent l="0" t="0" r="0" b="0"/>
          <wp:docPr id="2144547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547651" name="Picture 2144547651"/>
                  <pic:cNvPicPr/>
                </pic:nvPicPr>
                <pic:blipFill>
                  <a:blip r:embed="rId1">
                    <a:extLst>
                      <a:ext uri="{28A0092B-C50C-407E-A947-70E740481C1C}">
                        <a14:useLocalDpi xmlns:a14="http://schemas.microsoft.com/office/drawing/2010/main" val="0"/>
                      </a:ext>
                    </a:extLst>
                  </a:blip>
                  <a:stretch>
                    <a:fillRect/>
                  </a:stretch>
                </pic:blipFill>
                <pic:spPr>
                  <a:xfrm>
                    <a:off x="0" y="0"/>
                    <a:ext cx="5943600" cy="935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3B14"/>
    <w:multiLevelType w:val="multilevel"/>
    <w:tmpl w:val="3A181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670C4"/>
    <w:multiLevelType w:val="multilevel"/>
    <w:tmpl w:val="B9AE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82B2E"/>
    <w:multiLevelType w:val="multilevel"/>
    <w:tmpl w:val="7ED4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661424"/>
    <w:multiLevelType w:val="multilevel"/>
    <w:tmpl w:val="C78E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639A1"/>
    <w:multiLevelType w:val="multilevel"/>
    <w:tmpl w:val="186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1A7190"/>
    <w:multiLevelType w:val="multilevel"/>
    <w:tmpl w:val="05A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C65EB0"/>
    <w:multiLevelType w:val="multilevel"/>
    <w:tmpl w:val="ADDE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8F4427"/>
    <w:multiLevelType w:val="multilevel"/>
    <w:tmpl w:val="7AA2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2131E5"/>
    <w:multiLevelType w:val="multilevel"/>
    <w:tmpl w:val="9C10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6D36A3"/>
    <w:multiLevelType w:val="multilevel"/>
    <w:tmpl w:val="7200C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C20C6A"/>
    <w:multiLevelType w:val="multilevel"/>
    <w:tmpl w:val="CD56F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74517"/>
    <w:multiLevelType w:val="multilevel"/>
    <w:tmpl w:val="6A665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656254"/>
    <w:multiLevelType w:val="multilevel"/>
    <w:tmpl w:val="D71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257E96"/>
    <w:multiLevelType w:val="multilevel"/>
    <w:tmpl w:val="0966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8151286"/>
    <w:multiLevelType w:val="multilevel"/>
    <w:tmpl w:val="B4DC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B24F66"/>
    <w:multiLevelType w:val="multilevel"/>
    <w:tmpl w:val="9D463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8F6BF8"/>
    <w:multiLevelType w:val="multilevel"/>
    <w:tmpl w:val="95FE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325EC2"/>
    <w:multiLevelType w:val="multilevel"/>
    <w:tmpl w:val="F6D2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6626D2"/>
    <w:multiLevelType w:val="multilevel"/>
    <w:tmpl w:val="EF5C4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2956A7"/>
    <w:multiLevelType w:val="multilevel"/>
    <w:tmpl w:val="0212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F47AE4"/>
    <w:multiLevelType w:val="multilevel"/>
    <w:tmpl w:val="BA82C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6F58C7"/>
    <w:multiLevelType w:val="multilevel"/>
    <w:tmpl w:val="0600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1177A3"/>
    <w:multiLevelType w:val="multilevel"/>
    <w:tmpl w:val="D5EC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E12A24"/>
    <w:multiLevelType w:val="multilevel"/>
    <w:tmpl w:val="B794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2EC3472"/>
    <w:multiLevelType w:val="multilevel"/>
    <w:tmpl w:val="609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2D2D41"/>
    <w:multiLevelType w:val="multilevel"/>
    <w:tmpl w:val="C620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8F174D"/>
    <w:multiLevelType w:val="multilevel"/>
    <w:tmpl w:val="12F4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E919F8"/>
    <w:multiLevelType w:val="multilevel"/>
    <w:tmpl w:val="0DC8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F011C4"/>
    <w:multiLevelType w:val="multilevel"/>
    <w:tmpl w:val="97563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2C00240"/>
    <w:multiLevelType w:val="multilevel"/>
    <w:tmpl w:val="1B50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FF78F3"/>
    <w:multiLevelType w:val="multilevel"/>
    <w:tmpl w:val="85965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A60CBE"/>
    <w:multiLevelType w:val="multilevel"/>
    <w:tmpl w:val="E7F8C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2692619">
    <w:abstractNumId w:val="8"/>
  </w:num>
  <w:num w:numId="2" w16cid:durableId="1109662873">
    <w:abstractNumId w:val="20"/>
  </w:num>
  <w:num w:numId="3" w16cid:durableId="914515526">
    <w:abstractNumId w:val="23"/>
  </w:num>
  <w:num w:numId="4" w16cid:durableId="990333768">
    <w:abstractNumId w:val="16"/>
  </w:num>
  <w:num w:numId="5" w16cid:durableId="1660496133">
    <w:abstractNumId w:val="19"/>
  </w:num>
  <w:num w:numId="6" w16cid:durableId="121505033">
    <w:abstractNumId w:val="22"/>
  </w:num>
  <w:num w:numId="7" w16cid:durableId="1743598645">
    <w:abstractNumId w:val="15"/>
  </w:num>
  <w:num w:numId="8" w16cid:durableId="1233195984">
    <w:abstractNumId w:val="2"/>
  </w:num>
  <w:num w:numId="9" w16cid:durableId="65077657">
    <w:abstractNumId w:val="13"/>
  </w:num>
  <w:num w:numId="10" w16cid:durableId="1500660347">
    <w:abstractNumId w:val="27"/>
  </w:num>
  <w:num w:numId="11" w16cid:durableId="1890025381">
    <w:abstractNumId w:val="9"/>
  </w:num>
  <w:num w:numId="12" w16cid:durableId="1015764790">
    <w:abstractNumId w:val="10"/>
  </w:num>
  <w:num w:numId="13" w16cid:durableId="1527869352">
    <w:abstractNumId w:val="29"/>
  </w:num>
  <w:num w:numId="14" w16cid:durableId="349071322">
    <w:abstractNumId w:val="11"/>
  </w:num>
  <w:num w:numId="15" w16cid:durableId="1522276910">
    <w:abstractNumId w:val="25"/>
  </w:num>
  <w:num w:numId="16" w16cid:durableId="631250394">
    <w:abstractNumId w:val="1"/>
  </w:num>
  <w:num w:numId="17" w16cid:durableId="346686037">
    <w:abstractNumId w:val="31"/>
  </w:num>
  <w:num w:numId="18" w16cid:durableId="299311207">
    <w:abstractNumId w:val="4"/>
  </w:num>
  <w:num w:numId="19" w16cid:durableId="1880238392">
    <w:abstractNumId w:val="18"/>
  </w:num>
  <w:num w:numId="20" w16cid:durableId="1508396968">
    <w:abstractNumId w:val="3"/>
  </w:num>
  <w:num w:numId="21" w16cid:durableId="337658830">
    <w:abstractNumId w:val="7"/>
  </w:num>
  <w:num w:numId="22" w16cid:durableId="161358419">
    <w:abstractNumId w:val="30"/>
  </w:num>
  <w:num w:numId="23" w16cid:durableId="335157930">
    <w:abstractNumId w:val="28"/>
  </w:num>
  <w:num w:numId="24" w16cid:durableId="1611663094">
    <w:abstractNumId w:val="6"/>
  </w:num>
  <w:num w:numId="25" w16cid:durableId="1015814044">
    <w:abstractNumId w:val="14"/>
  </w:num>
  <w:num w:numId="26" w16cid:durableId="832600374">
    <w:abstractNumId w:val="0"/>
  </w:num>
  <w:num w:numId="27" w16cid:durableId="2147239159">
    <w:abstractNumId w:val="24"/>
  </w:num>
  <w:num w:numId="28" w16cid:durableId="2125035286">
    <w:abstractNumId w:val="26"/>
  </w:num>
  <w:num w:numId="29" w16cid:durableId="1248685751">
    <w:abstractNumId w:val="17"/>
  </w:num>
  <w:num w:numId="30" w16cid:durableId="865099787">
    <w:abstractNumId w:val="5"/>
  </w:num>
  <w:num w:numId="31" w16cid:durableId="1923448188">
    <w:abstractNumId w:val="12"/>
  </w:num>
  <w:num w:numId="32" w16cid:durableId="1669795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224"/>
    <w:rsid w:val="003049CA"/>
    <w:rsid w:val="003E5224"/>
    <w:rsid w:val="00916009"/>
    <w:rsid w:val="00B928FD"/>
    <w:rsid w:val="00CA5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EE93"/>
  <w15:chartTrackingRefBased/>
  <w15:docId w15:val="{26F0A6E1-7C84-46FC-98BF-CC532081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5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5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5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5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5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5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5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5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5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5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224"/>
    <w:rPr>
      <w:rFonts w:eastAsiaTheme="majorEastAsia" w:cstheme="majorBidi"/>
      <w:color w:val="272727" w:themeColor="text1" w:themeTint="D8"/>
    </w:rPr>
  </w:style>
  <w:style w:type="paragraph" w:styleId="Title">
    <w:name w:val="Title"/>
    <w:basedOn w:val="Normal"/>
    <w:next w:val="Normal"/>
    <w:link w:val="TitleChar"/>
    <w:uiPriority w:val="10"/>
    <w:qFormat/>
    <w:rsid w:val="003E5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5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5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5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224"/>
    <w:pPr>
      <w:spacing w:before="160"/>
      <w:jc w:val="center"/>
    </w:pPr>
    <w:rPr>
      <w:i/>
      <w:iCs/>
      <w:color w:val="404040" w:themeColor="text1" w:themeTint="BF"/>
    </w:rPr>
  </w:style>
  <w:style w:type="character" w:customStyle="1" w:styleId="QuoteChar">
    <w:name w:val="Quote Char"/>
    <w:basedOn w:val="DefaultParagraphFont"/>
    <w:link w:val="Quote"/>
    <w:uiPriority w:val="29"/>
    <w:rsid w:val="003E5224"/>
    <w:rPr>
      <w:i/>
      <w:iCs/>
      <w:color w:val="404040" w:themeColor="text1" w:themeTint="BF"/>
    </w:rPr>
  </w:style>
  <w:style w:type="paragraph" w:styleId="ListParagraph">
    <w:name w:val="List Paragraph"/>
    <w:basedOn w:val="Normal"/>
    <w:uiPriority w:val="34"/>
    <w:qFormat/>
    <w:rsid w:val="003E5224"/>
    <w:pPr>
      <w:ind w:left="720"/>
      <w:contextualSpacing/>
    </w:pPr>
  </w:style>
  <w:style w:type="character" w:styleId="IntenseEmphasis">
    <w:name w:val="Intense Emphasis"/>
    <w:basedOn w:val="DefaultParagraphFont"/>
    <w:uiPriority w:val="21"/>
    <w:qFormat/>
    <w:rsid w:val="003E5224"/>
    <w:rPr>
      <w:i/>
      <w:iCs/>
      <w:color w:val="0F4761" w:themeColor="accent1" w:themeShade="BF"/>
    </w:rPr>
  </w:style>
  <w:style w:type="paragraph" w:styleId="IntenseQuote">
    <w:name w:val="Intense Quote"/>
    <w:basedOn w:val="Normal"/>
    <w:next w:val="Normal"/>
    <w:link w:val="IntenseQuoteChar"/>
    <w:uiPriority w:val="30"/>
    <w:qFormat/>
    <w:rsid w:val="003E5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5224"/>
    <w:rPr>
      <w:i/>
      <w:iCs/>
      <w:color w:val="0F4761" w:themeColor="accent1" w:themeShade="BF"/>
    </w:rPr>
  </w:style>
  <w:style w:type="character" w:styleId="IntenseReference">
    <w:name w:val="Intense Reference"/>
    <w:basedOn w:val="DefaultParagraphFont"/>
    <w:uiPriority w:val="32"/>
    <w:qFormat/>
    <w:rsid w:val="003E5224"/>
    <w:rPr>
      <w:b/>
      <w:bCs/>
      <w:smallCaps/>
      <w:color w:val="0F4761" w:themeColor="accent1" w:themeShade="BF"/>
      <w:spacing w:val="5"/>
    </w:rPr>
  </w:style>
  <w:style w:type="paragraph" w:styleId="Header">
    <w:name w:val="header"/>
    <w:basedOn w:val="Normal"/>
    <w:link w:val="HeaderChar"/>
    <w:uiPriority w:val="99"/>
    <w:unhideWhenUsed/>
    <w:rsid w:val="003E52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224"/>
  </w:style>
  <w:style w:type="paragraph" w:styleId="Footer">
    <w:name w:val="footer"/>
    <w:basedOn w:val="Normal"/>
    <w:link w:val="FooterChar"/>
    <w:uiPriority w:val="99"/>
    <w:unhideWhenUsed/>
    <w:rsid w:val="003E52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1289</Words>
  <Characters>8280</Characters>
  <Application>Microsoft Office Word</Application>
  <DocSecurity>0</DocSecurity>
  <Lines>156</Lines>
  <Paragraphs>86</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Bush</dc:creator>
  <cp:keywords/>
  <dc:description/>
  <cp:lastModifiedBy>Ben Bush</cp:lastModifiedBy>
  <cp:revision>1</cp:revision>
  <dcterms:created xsi:type="dcterms:W3CDTF">2026-04-27T13:10:00Z</dcterms:created>
  <dcterms:modified xsi:type="dcterms:W3CDTF">2026-04-27T13:12:00Z</dcterms:modified>
</cp:coreProperties>
</file>